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Struttura Risorse Umane – Area Amministrazione Fabbisogni di Personale </w:t>
      </w:r>
    </w:p>
    <w:tbl>
      <w:tblPr>
        <w:tblStyle w:val="Grigliatabella"/>
        <w:tblW w:w="21835" w:type="dxa"/>
        <w:jc w:val="left"/>
        <w:tblInd w:w="-505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1560"/>
        <w:gridCol w:w="1579"/>
        <w:gridCol w:w="51"/>
        <w:gridCol w:w="1594"/>
        <w:gridCol w:w="1980"/>
        <w:gridCol w:w="1753"/>
        <w:gridCol w:w="1863"/>
        <w:gridCol w:w="1528"/>
        <w:gridCol w:w="1821"/>
        <w:gridCol w:w="2153"/>
        <w:gridCol w:w="1640"/>
        <w:gridCol w:w="22"/>
        <w:gridCol w:w="1334"/>
        <w:gridCol w:w="1397"/>
      </w:tblGrid>
      <w:tr>
        <w:trPr/>
        <w:tc>
          <w:tcPr>
            <w:tcW w:w="19103" w:type="dxa"/>
            <w:gridSpan w:val="13"/>
            <w:tcBorders/>
            <w:shd w:fill="81D41A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eastAsia="Calibri" w:cs="" w:cstheme="minorBidi" w:eastAsiaTheme="minorHAnsi"/>
                <w:b/>
                <w:sz w:val="18"/>
                <w:szCs w:val="18"/>
              </w:rPr>
              <w:t>Per ciascuna tipologia di procedimento</w:t>
            </w:r>
          </w:p>
        </w:tc>
        <w:tc>
          <w:tcPr>
            <w:tcW w:w="2731" w:type="dxa"/>
            <w:gridSpan w:val="2"/>
            <w:tcBorders/>
            <w:shd w:fill="81D41A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Calibri" w:cs="" w:cstheme="minorBidi" w:eastAsiaTheme="minorHAnsi"/>
                <w:b/>
                <w:bCs/>
              </w:rPr>
              <w:t>Per i procedimenti ad istanza di parte</w:t>
            </w:r>
          </w:p>
        </w:tc>
      </w:tr>
      <w:tr>
        <w:trPr/>
        <w:tc>
          <w:tcPr>
            <w:tcW w:w="1559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Denominazione e breve descrizione del procedimento</w:t>
            </w:r>
          </w:p>
        </w:tc>
        <w:tc>
          <w:tcPr>
            <w:tcW w:w="156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Normativa di riferimento</w:t>
            </w:r>
          </w:p>
        </w:tc>
        <w:tc>
          <w:tcPr>
            <w:tcW w:w="1579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Unità Organizzativa responsabile dell’istruttoria</w:t>
            </w:r>
            <w:r>
              <w:rPr>
                <w:rFonts w:eastAsia="Calibri" w:cs="" w:cstheme="minorBidi" w:eastAsiaTheme="minorHAnsi"/>
                <w:sz w:val="20"/>
                <w:szCs w:val="20"/>
              </w:rPr>
              <w:t xml:space="preserve"> e del procedimento</w:t>
            </w:r>
          </w:p>
        </w:tc>
        <w:tc>
          <w:tcPr>
            <w:tcW w:w="51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4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Ufficio competente per l’adozione del provvedimento finale, ove diverso da quello responsabile dell’istruttoria</w:t>
            </w:r>
          </w:p>
        </w:tc>
        <w:tc>
          <w:tcPr>
            <w:tcW w:w="198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Modalità con le quali gli interessati possono ottenere le informazioni relative ai procedimenti in corso che li riguardano</w:t>
            </w:r>
          </w:p>
        </w:tc>
        <w:tc>
          <w:tcPr>
            <w:tcW w:w="1753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Termine di conclusione del procedimento e ogni altro termine procedimentale rilevante</w:t>
            </w:r>
          </w:p>
        </w:tc>
        <w:tc>
          <w:tcPr>
            <w:tcW w:w="1863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Procedimenti per i quali il provvedimento dell’amministrazione può essere sostituito da una dichiarazione dell’interessato ovvero o può concludersi con il silenzio-assenso dell’amministrazione</w:t>
            </w:r>
          </w:p>
        </w:tc>
        <w:tc>
          <w:tcPr>
            <w:tcW w:w="1528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Strumenti di tutela amministrativa e giurisdizionale a favore dell’interessato</w:t>
            </w:r>
          </w:p>
        </w:tc>
        <w:tc>
          <w:tcPr>
            <w:tcW w:w="1821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 w:cstheme="minorBidi" w:eastAsiaTheme="minorHAnsi"/>
                <w:i/>
                <w:sz w:val="18"/>
                <w:szCs w:val="18"/>
              </w:rPr>
              <w:t>Link</w:t>
            </w:r>
            <w:r>
              <w:rPr>
                <w:rFonts w:eastAsia="Calibri" w:cs="" w:cstheme="minorBidi" w:eastAsiaTheme="minorHAnsi"/>
                <w:sz w:val="18"/>
                <w:szCs w:val="18"/>
              </w:rPr>
              <w:t xml:space="preserve"> di accesso ai servizi </w:t>
            </w:r>
            <w:r>
              <w:rPr>
                <w:rFonts w:eastAsia="Calibri" w:cs="" w:cstheme="minorBidi" w:eastAsiaTheme="minorHAnsi"/>
                <w:i/>
                <w:sz w:val="18"/>
                <w:szCs w:val="18"/>
              </w:rPr>
              <w:t xml:space="preserve">on line, </w:t>
            </w:r>
            <w:r>
              <w:rPr>
                <w:rFonts w:eastAsia="Calibri" w:cs="" w:cstheme="minorBidi" w:eastAsiaTheme="minorHAnsi"/>
                <w:sz w:val="18"/>
                <w:szCs w:val="18"/>
              </w:rPr>
              <w:t>ove sia già disponibile in rete, o tempi previsti per la sua attivazione</w:t>
            </w:r>
          </w:p>
        </w:tc>
        <w:tc>
          <w:tcPr>
            <w:tcW w:w="2153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darkYellow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Modalità per l’effettuazione dei pagamenti eventualmente necessari</w:t>
            </w:r>
          </w:p>
        </w:tc>
        <w:tc>
          <w:tcPr>
            <w:tcW w:w="1640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 xml:space="preserve">Titolare del potere sostitutivo </w:t>
            </w:r>
          </w:p>
        </w:tc>
        <w:tc>
          <w:tcPr>
            <w:tcW w:w="1356" w:type="dxa"/>
            <w:gridSpan w:val="2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Atti e documenti da allegare all’istanza e modulistica necessaria</w:t>
            </w:r>
          </w:p>
        </w:tc>
        <w:tc>
          <w:tcPr>
            <w:tcW w:w="1397" w:type="dxa"/>
            <w:tcBorders/>
            <w:shd w:fill="81D41A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 w:cstheme="minorBidi" w:eastAsiaTheme="minorHAnsi"/>
                <w:sz w:val="18"/>
                <w:szCs w:val="18"/>
              </w:rPr>
              <w:t>Uffici ai quali rivolgersi per informazioni</w:t>
            </w:r>
          </w:p>
        </w:tc>
      </w:tr>
      <w:tr>
        <w:trPr>
          <w:trHeight w:val="1134" w:hRule="atLeast"/>
        </w:trPr>
        <w:tc>
          <w:tcPr>
            <w:tcW w:w="155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Concorso pubblico per assunzione a tempo indeterminato di Dirigente Medico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DPR 483/97 DPR 487/94, D.Lgs. 165/2001, L. 215/2012, Artt. 51, 52 c.p.c., DPR 445/2000, D.Lgs. 33/2013, L. 241/90, Reg. UE 2016/679</w:t>
            </w:r>
          </w:p>
        </w:tc>
        <w:tc>
          <w:tcPr>
            <w:tcW w:w="157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Struttura Risorse Umane - Area Amministrazione Fabbisogni di Personale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Tel.: 0376/464911 email: </w:t>
            </w:r>
            <w:hyperlink r:id="rId2">
              <w:r>
                <w:rPr>
                  <w:rStyle w:val="CollegamentoInternet"/>
                  <w:sz w:val="20"/>
                  <w:szCs w:val="20"/>
                </w:rPr>
                <w:t>reclutamento@asst-mantova.it</w:t>
              </w:r>
            </w:hyperlink>
            <w:r>
              <w:rPr>
                <w:sz w:val="20"/>
                <w:szCs w:val="20"/>
              </w:rPr>
              <w:t xml:space="preserve"> PEC: </w:t>
            </w:r>
            <w:hyperlink r:id="rId3">
              <w:r>
                <w:rPr>
                  <w:rStyle w:val="CollegamentoInternet"/>
                  <w:sz w:val="20"/>
                  <w:szCs w:val="20"/>
                </w:rPr>
                <w:t>reclutamento@pec.asst-mantova.it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Direzione Strategica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tel 0376.464464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ollegamentoInternet"/>
                <w:sz w:val="20"/>
                <w:szCs w:val="20"/>
              </w:rPr>
              <w:t>direzionestrategica@asst-mantova.it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Tel.: 0376/464911 email: </w:t>
            </w:r>
            <w:hyperlink r:id="rId4">
              <w:r>
                <w:rPr>
                  <w:rStyle w:val="CollegamentoInternet"/>
                  <w:sz w:val="20"/>
                  <w:szCs w:val="20"/>
                </w:rPr>
                <w:t>reclutamento@asst-mantova.it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PEC: </w:t>
            </w:r>
            <w:hyperlink r:id="rId5">
              <w:r>
                <w:rPr>
                  <w:rStyle w:val="CollegamentoInternet"/>
                  <w:sz w:val="20"/>
                  <w:szCs w:val="20"/>
                </w:rPr>
                <w:t>reclutamento@pec.asst-mantova.it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eastAsia="Times New Roman" w:cs="Courier New"/>
                <w:lang w:eastAsia="it-IT"/>
              </w:rPr>
            </w:pPr>
            <w:r>
              <w:rPr>
                <w:rFonts w:eastAsia="Times New Roman" w:cs="Courier New"/>
                <w:sz w:val="20"/>
                <w:szCs w:val="20"/>
                <w:lang w:eastAsia="it-IT"/>
              </w:rPr>
              <w:t>Le  operazioni concorsuali devono essere concluse entro sei mesi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eastAsia="Times New Roman" w:cs="Courier New"/>
                <w:lang w:eastAsia="it-IT"/>
              </w:rPr>
            </w:pPr>
            <w:r>
              <w:rPr>
                <w:rFonts w:eastAsia="Times New Roman" w:cs="Courier New"/>
                <w:sz w:val="20"/>
                <w:szCs w:val="20"/>
                <w:lang w:eastAsia="it-IT"/>
              </w:rPr>
              <w:t xml:space="preserve">dalla prova scritta (art. 10 co. 7 DPR 483/97)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previsto</w:t>
            </w:r>
          </w:p>
        </w:tc>
        <w:tc>
          <w:tcPr>
            <w:tcW w:w="15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Ricorso giurisdizionale, ricorso straordinario al Presidente della Repubblica, richiesta di autotutela</w:t>
            </w:r>
          </w:p>
        </w:tc>
        <w:tc>
          <w:tcPr>
            <w:tcW w:w="18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Bando di concorso disponibile al seguente link: link: </w:t>
            </w:r>
            <w:hyperlink r:id="rId6">
              <w:r>
                <w:rPr>
                  <w:rStyle w:val="CollegamentoInternet"/>
                  <w:sz w:val="20"/>
                  <w:szCs w:val="20"/>
                </w:rPr>
                <w:t>https://www.asst-mantova.it/amministrazione-trasparente/bandi-di-concorso</w:t>
              </w:r>
            </w:hyperlink>
            <w:r>
              <w:rPr>
                <w:sz w:val="20"/>
                <w:szCs w:val="20"/>
              </w:rPr>
              <w:t xml:space="preserve">.  Applicativo per l’iscrizione alla procedura da parte dei candidati disponibile al seguente link: </w:t>
            </w:r>
            <w:hyperlink r:id="rId7">
              <w:r>
                <w:rPr>
                  <w:rStyle w:val="CollegamentoInternet"/>
                  <w:sz w:val="20"/>
                  <w:szCs w:val="20"/>
                </w:rPr>
                <w:t>https://asst-mantova.iscrizioneconcorsi.it/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Versamento tassa concorsuale secondo quanto specificato nel bando, indicando il concorso di riferimento ed il proprio codice fiscale.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Il versamento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dovrà essere</w:t>
            </w:r>
            <w:r>
              <w:rPr>
                <w:sz w:val="20"/>
                <w:szCs w:val="20"/>
              </w:rPr>
              <w:t xml:space="preserve"> eseguito in una delle seguenti modalità: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1) presso l’Ufficio Cassa dell’Azienda Socio Sanitaria Territoriale di Mantova;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2) tramite c/c postale n. 12058467 intestato a “Azienda Socio Sanitaria Territoriale di Mantova – Accrediti vari servizio tesoreria”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3) tramite bonifico bancario, utilizzando il codice IBAN n. IT 65 S 05034 11501 000000072000 - Banco Popolare: Soc. Coop. Via Filzi 25 Mantova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4) tramite bonifico postale sul conto  IBAN IT 86 H 07601 11500 000012058467 Poste Italiane </w:t>
            </w:r>
          </w:p>
        </w:tc>
        <w:tc>
          <w:tcPr>
            <w:tcW w:w="164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Direttore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0"/>
                <w:szCs w:val="20"/>
                <w:lang w:val="it-IT" w:eastAsia="en-US" w:bidi="ar-SA"/>
              </w:rPr>
              <w:t>Amministrativo</w:t>
            </w:r>
          </w:p>
        </w:tc>
        <w:tc>
          <w:tcPr>
            <w:tcW w:w="1356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23811" w:h="16838"/>
      <w:pgMar w:left="5959" w:right="5954" w:header="0" w:top="1168" w:footer="0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e63ada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c5f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clutamento@asst-mantova.it" TargetMode="External"/><Relationship Id="rId3" Type="http://schemas.openxmlformats.org/officeDocument/2006/relationships/hyperlink" Target="mailto:reclutamento@pec.asst-mantova.it" TargetMode="External"/><Relationship Id="rId4" Type="http://schemas.openxmlformats.org/officeDocument/2006/relationships/hyperlink" Target="mailto:reclutamento@asst-mantova.it" TargetMode="External"/><Relationship Id="rId5" Type="http://schemas.openxmlformats.org/officeDocument/2006/relationships/hyperlink" Target="mailto:reclutamento@pec.asst-mantova.it" TargetMode="External"/><Relationship Id="rId6" Type="http://schemas.openxmlformats.org/officeDocument/2006/relationships/hyperlink" Target="https://www.asst-mantova.it/amministrazione-trasparente/bandi-di-concorso" TargetMode="External"/><Relationship Id="rId7" Type="http://schemas.openxmlformats.org/officeDocument/2006/relationships/hyperlink" Target="https://asst-mantova.iscrizioneconcorsi.it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LibreOffice/6.3.0.4$Windows_X86_64 LibreOffice_project/057fc023c990d676a43019934386b85b21a9ee99</Application>
  <Pages>1</Pages>
  <Words>363</Words>
  <Characters>2546</Characters>
  <CharactersWithSpaces>2886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2020-06-15T07:28:00Z</dcterms:created>
  <dc:creator>Maria Saveria Renzulli</dc:creator>
  <dc:description/>
  <dc:language>it-IT</dc:language>
  <cp:lastModifiedBy/>
  <cp:lastPrinted>2020-06-25T14:24:28Z</cp:lastPrinted>
  <dcterms:modified xsi:type="dcterms:W3CDTF">2020-06-25T14:29:47Z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