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Struttura  Risorse Economiche e Finanziarie</w:t>
      </w:r>
    </w:p>
    <w:tbl>
      <w:tblPr>
        <w:tblStyle w:val="Grigliatabella"/>
        <w:tblW w:w="22470" w:type="dxa"/>
        <w:jc w:val="left"/>
        <w:tblInd w:w="-5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83"/>
        <w:gridCol w:w="1802"/>
        <w:gridCol w:w="1710"/>
        <w:gridCol w:w="45"/>
        <w:gridCol w:w="1485"/>
        <w:gridCol w:w="1980"/>
        <w:gridCol w:w="2265"/>
        <w:gridCol w:w="2160"/>
        <w:gridCol w:w="1590"/>
        <w:gridCol w:w="1530"/>
        <w:gridCol w:w="1305"/>
        <w:gridCol w:w="1290"/>
        <w:gridCol w:w="1744"/>
        <w:gridCol w:w="2065"/>
        <w:gridCol w:w="15"/>
      </w:tblGrid>
      <w:tr>
        <w:trPr/>
        <w:tc>
          <w:tcPr>
            <w:tcW w:w="18645" w:type="dxa"/>
            <w:gridSpan w:val="12"/>
            <w:tcBorders/>
            <w:shd w:fill="81D41A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Per ciascuna tipologia di procedimento</w:t>
            </w:r>
          </w:p>
        </w:tc>
        <w:tc>
          <w:tcPr>
            <w:tcW w:w="3809" w:type="dxa"/>
            <w:gridSpan w:val="2"/>
            <w:tcBorders/>
            <w:shd w:fill="81D41A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bCs/>
              </w:rPr>
              <w:t>Per i procedimenti ad istanza di parte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483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Denominazione e breve descrizione del procedimento</w:t>
            </w:r>
          </w:p>
        </w:tc>
        <w:tc>
          <w:tcPr>
            <w:tcW w:w="1802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Normativa di riferimento</w:t>
            </w:r>
          </w:p>
        </w:tc>
        <w:tc>
          <w:tcPr>
            <w:tcW w:w="1710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Unità Organizzativa responsabile dell’istruttoria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 del procedimento</w:t>
            </w:r>
          </w:p>
        </w:tc>
        <w:tc>
          <w:tcPr>
            <w:tcW w:w="45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/>
            </w:r>
          </w:p>
        </w:tc>
        <w:tc>
          <w:tcPr>
            <w:tcW w:w="1485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 xml:space="preserve">Ufficio competente </w:t>
            </w:r>
            <w:r>
              <w:rPr>
                <w:sz w:val="18"/>
                <w:szCs w:val="18"/>
              </w:rPr>
              <w:t xml:space="preserve">per </w:t>
            </w:r>
            <w:r>
              <w:rPr>
                <w:sz w:val="18"/>
                <w:szCs w:val="18"/>
              </w:rPr>
              <w:t>l’adozione del provvedimento finale ove diverso da quello responsabile dell’istruttoria</w:t>
            </w:r>
          </w:p>
        </w:tc>
        <w:tc>
          <w:tcPr>
            <w:tcW w:w="1980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Modalità con le quali gli interessati possono ottenere le informazioni relative ai procedimenti in corso che li riguardano</w:t>
            </w:r>
          </w:p>
        </w:tc>
        <w:tc>
          <w:tcPr>
            <w:tcW w:w="2265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Termine di conclusione del procedimento e ogni altro termine procedimentale rilevante</w:t>
            </w:r>
          </w:p>
        </w:tc>
        <w:tc>
          <w:tcPr>
            <w:tcW w:w="2160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Procedimenti per i quali il provvedimento dell’amministrazione può essere sostituito da una dichiarazione dell’interessato ovvero può concludersi con il silenzio-assenso dell’amministrazione</w:t>
            </w:r>
          </w:p>
        </w:tc>
        <w:tc>
          <w:tcPr>
            <w:tcW w:w="1590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Strumenti di tutela amministrativa e giurisdizionale a  favore dell’interessato</w:t>
            </w:r>
          </w:p>
        </w:tc>
        <w:tc>
          <w:tcPr>
            <w:tcW w:w="1530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Link</w:t>
            </w:r>
            <w:r>
              <w:rPr>
                <w:sz w:val="18"/>
                <w:szCs w:val="18"/>
              </w:rPr>
              <w:t xml:space="preserve"> di accesso ai servizi </w:t>
            </w:r>
            <w:r>
              <w:rPr>
                <w:i/>
                <w:sz w:val="18"/>
                <w:szCs w:val="18"/>
              </w:rPr>
              <w:t xml:space="preserve">on line, </w:t>
            </w:r>
            <w:r>
              <w:rPr>
                <w:sz w:val="18"/>
                <w:szCs w:val="18"/>
              </w:rPr>
              <w:t>ove sia già disponibile in rete, o tempi previsti per la sua attivazione</w:t>
            </w:r>
          </w:p>
        </w:tc>
        <w:tc>
          <w:tcPr>
            <w:tcW w:w="1305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per l’effettuazione dei pagamenti eventualmente necessari</w:t>
            </w:r>
          </w:p>
        </w:tc>
        <w:tc>
          <w:tcPr>
            <w:tcW w:w="1290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Titolare del potere sostitutivo</w:t>
            </w:r>
          </w:p>
        </w:tc>
        <w:tc>
          <w:tcPr>
            <w:tcW w:w="1744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 e documenti da allegare all’istanza</w:t>
            </w:r>
          </w:p>
        </w:tc>
        <w:tc>
          <w:tcPr>
            <w:tcW w:w="2080" w:type="dxa"/>
            <w:gridSpan w:val="2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Uffici ai quali rivolgersi per informazioni</w:t>
            </w:r>
          </w:p>
        </w:tc>
      </w:tr>
      <w:tr>
        <w:trPr>
          <w:trHeight w:val="1134" w:hRule="atLeast"/>
        </w:trPr>
        <w:tc>
          <w:tcPr>
            <w:tcW w:w="14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Cessione crediti fornitori</w:t>
            </w:r>
          </w:p>
        </w:tc>
        <w:tc>
          <w:tcPr>
            <w:tcW w:w="18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52/1991</w:t>
            </w:r>
          </w:p>
        </w:tc>
        <w:tc>
          <w:tcPr>
            <w:tcW w:w="17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 xml:space="preserve">Struttura Risorse Economiche e Finanziarie -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Settore contabilità costi ed area fiscale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 xml:space="preserve">tel. </w:t>
            </w:r>
            <w:r>
              <w:rPr>
                <w:sz w:val="20"/>
                <w:szCs w:val="20"/>
              </w:rPr>
              <w:t>0376464695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economicofinanziario</w:t>
            </w:r>
            <w:r>
              <w:rPr>
                <w:rFonts w:cs="Calibri" w:cstheme="minorHAnsi"/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asst-mantova.it</w:t>
            </w:r>
          </w:p>
        </w:tc>
        <w:tc>
          <w:tcPr>
            <w:tcW w:w="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4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9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 xml:space="preserve">Tel. </w:t>
            </w:r>
            <w:r>
              <w:rPr>
                <w:sz w:val="20"/>
                <w:szCs w:val="20"/>
              </w:rPr>
              <w:t>0376464695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economicofinanziario</w:t>
            </w:r>
            <w:r>
              <w:rPr>
                <w:rFonts w:cs="Calibri" w:cstheme="minorHAnsi"/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asst-mantova.it</w:t>
            </w:r>
          </w:p>
        </w:tc>
        <w:tc>
          <w:tcPr>
            <w:tcW w:w="226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giorni dalla notifica della cessione (art. 106 co 13 D.lgs. 50/2016)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5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2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7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Atto notarile</w:t>
            </w:r>
          </w:p>
        </w:tc>
        <w:tc>
          <w:tcPr>
            <w:tcW w:w="2080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Ufficio fornitori –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Contatti telefonici dal lun.a ven. ) 9=13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protocollogenerale</w:t>
            </w:r>
            <w:r>
              <w:rPr>
                <w:rFonts w:cs="Calibri" w:cstheme="minorHAnsi"/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asst-mantova.it</w:t>
            </w:r>
          </w:p>
        </w:tc>
      </w:tr>
      <w:tr>
        <w:trPr>
          <w:trHeight w:val="1134" w:hRule="atLeast"/>
        </w:trPr>
        <w:tc>
          <w:tcPr>
            <w:tcW w:w="14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Inadempienza contributiva DURC</w:t>
            </w:r>
          </w:p>
        </w:tc>
        <w:tc>
          <w:tcPr>
            <w:tcW w:w="18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Decreto Legge n. 69 del 21 giugno 2013 convertito con Legge n. 98 del 09 agosto 2013- D.P.R. n. 207/2010</w:t>
            </w:r>
          </w:p>
        </w:tc>
        <w:tc>
          <w:tcPr>
            <w:tcW w:w="17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Struttura Risorse Economich</w:t>
            </w:r>
            <w:r>
              <w:rPr>
                <w:sz w:val="20"/>
                <w:szCs w:val="20"/>
              </w:rPr>
              <w:t>e e  Finanziarie -</w:t>
            </w:r>
            <w:r>
              <w:rPr>
                <w:sz w:val="20"/>
                <w:szCs w:val="20"/>
              </w:rPr>
              <w:t>Settore contabilità costi ed area fiscale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 xml:space="preserve">tel. </w:t>
            </w:r>
            <w:r>
              <w:rPr>
                <w:sz w:val="20"/>
                <w:szCs w:val="20"/>
              </w:rPr>
              <w:t>0376464695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economicofinanziario</w:t>
            </w:r>
            <w:r>
              <w:rPr>
                <w:rFonts w:cs="Calibri" w:cstheme="minorHAnsi"/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asst-mantova.it</w:t>
            </w:r>
          </w:p>
        </w:tc>
        <w:tc>
          <w:tcPr>
            <w:tcW w:w="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4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9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 xml:space="preserve">Tel. </w:t>
            </w:r>
            <w:r>
              <w:rPr>
                <w:sz w:val="20"/>
                <w:szCs w:val="20"/>
              </w:rPr>
              <w:t>0376464695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economicofinanziario</w:t>
            </w:r>
            <w:r>
              <w:rPr>
                <w:rFonts w:cs="Calibri" w:cstheme="minorHAnsi"/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asst-mantova.it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2265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left="397" w:right="0" w:hanging="397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Comunicazione Preventiva: entro 30 giorni dal rilascio del DURC inadempiente;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ind w:left="397" w:right="0" w:hanging="397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Intervento sostitutivo. Entro 30 giorni dal ricevimento del benestare dell’Istituto Previdenziale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5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2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7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documenti vengono presentati all’Istituto Previdenziale che ha riscontrato l’inadempienza </w:t>
            </w:r>
          </w:p>
        </w:tc>
        <w:tc>
          <w:tcPr>
            <w:tcW w:w="2080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>
        <w:trPr>
          <w:trHeight w:val="1134" w:hRule="atLeast"/>
        </w:trPr>
        <w:tc>
          <w:tcPr>
            <w:tcW w:w="148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Certificazione del credito da parte della P.A.</w:t>
            </w:r>
          </w:p>
        </w:tc>
        <w:tc>
          <w:tcPr>
            <w:tcW w:w="180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 xml:space="preserve">decreto-legge 8 aprile 2013, n. 35 coordinato con la legge di conversione 6 giugno 2013, n. 64 </w:t>
            </w:r>
          </w:p>
        </w:tc>
        <w:tc>
          <w:tcPr>
            <w:tcW w:w="17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Struttura Risorse Economiche e Finanziarie</w:t>
            </w:r>
          </w:p>
        </w:tc>
        <w:tc>
          <w:tcPr>
            <w:tcW w:w="4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48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9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Piattaforma Ministero (PCC)</w:t>
            </w:r>
          </w:p>
        </w:tc>
        <w:tc>
          <w:tcPr>
            <w:tcW w:w="226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Entro 30 giorni dal ricevimento dell’istanza.</w:t>
            </w:r>
          </w:p>
        </w:tc>
        <w:tc>
          <w:tcPr>
            <w:tcW w:w="21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5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5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30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29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Commissario ad acta (Ragioneria Territoriale dello Stato)</w:t>
            </w:r>
          </w:p>
        </w:tc>
        <w:tc>
          <w:tcPr>
            <w:tcW w:w="17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Istanza formulata direttamente sulla PCC</w:t>
            </w:r>
          </w:p>
        </w:tc>
        <w:tc>
          <w:tcPr>
            <w:tcW w:w="2080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23811" w:h="16838"/>
      <w:pgMar w:left="5959" w:right="5954" w:header="0" w:top="1168" w:footer="0" w:bottom="141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4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3">
    <w:name w:val="Heading 3"/>
    <w:basedOn w:val="Normal"/>
    <w:link w:val="Titolo3Carattere"/>
    <w:uiPriority w:val="9"/>
    <w:qFormat/>
    <w:rsid w:val="00f8439c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b1149"/>
    <w:rPr>
      <w:rFonts w:ascii="Tahoma" w:hAnsi="Tahoma" w:cs="Tahoma"/>
      <w:sz w:val="16"/>
      <w:szCs w:val="16"/>
    </w:rPr>
  </w:style>
  <w:style w:type="character" w:styleId="Titolo3Carattere" w:customStyle="1">
    <w:name w:val="Titolo 3 Carattere"/>
    <w:basedOn w:val="DefaultParagraphFont"/>
    <w:link w:val="Titolo3"/>
    <w:uiPriority w:val="9"/>
    <w:qFormat/>
    <w:rsid w:val="00f8439c"/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 Unicode M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b114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40c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8c5f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LibreOffice/6.3.0.4$Windows_X86_64 LibreOffice_project/057fc023c990d676a43019934386b85b21a9ee99</Application>
  <Pages>1</Pages>
  <Words>337</Words>
  <Characters>2280</Characters>
  <CharactersWithSpaces>2557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2020-06-18T12:32:00Z</dcterms:created>
  <dc:creator>Maria Saveria Renzulli</dc:creator>
  <dc:description/>
  <dc:language>it-IT</dc:language>
  <cp:lastModifiedBy/>
  <cp:lastPrinted>2020-06-18T12:03:00Z</cp:lastPrinted>
  <dcterms:modified xsi:type="dcterms:W3CDTF">2020-06-25T08:41:27Z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